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D086" w14:textId="6482C969" w:rsidR="00EA5DFF" w:rsidRDefault="00EA5DFF" w:rsidP="00EA5DFF">
      <w:pPr>
        <w:jc w:val="center"/>
        <w:rPr>
          <w:b/>
          <w:bCs/>
          <w:u w:val="single"/>
          <w:rtl/>
        </w:rPr>
      </w:pPr>
      <w:r w:rsidRPr="00EA5DFF">
        <w:rPr>
          <w:b/>
          <w:bCs/>
          <w:u w:val="single"/>
        </w:rPr>
        <w:drawing>
          <wp:anchor distT="0" distB="0" distL="114300" distR="114300" simplePos="0" relativeHeight="251661312" behindDoc="0" locked="0" layoutInCell="1" allowOverlap="1" wp14:anchorId="50A9683C" wp14:editId="2EBEF9ED">
            <wp:simplePos x="0" y="0"/>
            <wp:positionH relativeFrom="column">
              <wp:posOffset>3371850</wp:posOffset>
            </wp:positionH>
            <wp:positionV relativeFrom="paragraph">
              <wp:posOffset>-1028065</wp:posOffset>
            </wp:positionV>
            <wp:extent cx="960755" cy="1441312"/>
            <wp:effectExtent l="0" t="0" r="0" b="0"/>
            <wp:wrapNone/>
            <wp:docPr id="14" name="תמונה 13" descr="תמונה שמכילה ציור, גרפיקה, אומנות קליפיפם, עיצוב&#10;&#10;תוכן בינה מלאכותית גנרטיבית עשוי להיות שגוי.">
              <a:extLst xmlns:a="http://schemas.openxmlformats.org/drawingml/2006/main">
                <a:ext uri="{FF2B5EF4-FFF2-40B4-BE49-F238E27FC236}">
                  <a16:creationId xmlns:a16="http://schemas.microsoft.com/office/drawing/2014/main" id="{B280DEFF-35FD-26FD-8DD9-EB642731E6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תמונה 13" descr="תמונה שמכילה ציור, גרפיקה, אומנות קליפיפם, עיצוב&#10;&#10;תוכן בינה מלאכותית גנרטיבית עשוי להיות שגוי.">
                      <a:extLst>
                        <a:ext uri="{FF2B5EF4-FFF2-40B4-BE49-F238E27FC236}">
                          <a16:creationId xmlns:a16="http://schemas.microsoft.com/office/drawing/2014/main" id="{B280DEFF-35FD-26FD-8DD9-EB642731E6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441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DFF">
        <w:rPr>
          <w:b/>
          <w:bCs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629AC" wp14:editId="7278C18C">
                <wp:simplePos x="0" y="0"/>
                <wp:positionH relativeFrom="margin">
                  <wp:align>center</wp:align>
                </wp:positionH>
                <wp:positionV relativeFrom="paragraph">
                  <wp:posOffset>-282575</wp:posOffset>
                </wp:positionV>
                <wp:extent cx="2762250" cy="461645"/>
                <wp:effectExtent l="0" t="0" r="0" b="0"/>
                <wp:wrapNone/>
                <wp:docPr id="13" name="מלבן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CFE8BE-A381-163E-26BB-8F2826C615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A13F04" w14:textId="77777777" w:rsidR="00EA5DFF" w:rsidRDefault="00EA5DFF" w:rsidP="00EA5DFF">
                            <w:pPr>
                              <w:jc w:val="center"/>
                              <w:rPr>
                                <w:rFonts w:ascii="Candara" w:eastAsia="Yu Gothic Medium" w:hAnsi="Arial"/>
                                <w:b/>
                                <w:bCs/>
                                <w:color w:val="44BC5B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andara" w:eastAsia="Yu Gothic Medium" w:hAnsi="Arial"/>
                                <w:b/>
                                <w:bCs/>
                                <w:color w:val="44BC5B"/>
                                <w:kern w:val="24"/>
                                <w:sz w:val="48"/>
                                <w:szCs w:val="48"/>
                                <w:rtl/>
                              </w:rPr>
                              <w:t>מבשרת ציון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D629AC" id="מלבן 12" o:spid="_x0000_s1026" style="position:absolute;left:0;text-align:left;margin-left:0;margin-top:-22.25pt;width:217.5pt;height:36.3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" filled="f" stroked="f">
                <v:textbox style="mso-fit-shape-to-text:t">
                  <w:txbxContent>
                    <w:p w14:paraId="4DA13F04" w14:textId="77777777" w:rsidR="00EA5DFF" w:rsidRDefault="00EA5DFF" w:rsidP="00EA5DFF">
                      <w:pPr>
                        <w:jc w:val="center"/>
                        <w:rPr>
                          <w:rFonts w:ascii="Candara" w:eastAsia="Yu Gothic Medium" w:hAnsi="Arial"/>
                          <w:b/>
                          <w:bCs/>
                          <w:color w:val="44BC5B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andara" w:eastAsia="Yu Gothic Medium" w:hAnsi="Arial"/>
                          <w:b/>
                          <w:bCs/>
                          <w:color w:val="44BC5B"/>
                          <w:kern w:val="24"/>
                          <w:sz w:val="48"/>
                          <w:szCs w:val="48"/>
                          <w:rtl/>
                        </w:rPr>
                        <w:t>מבשרת ציון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5DFF">
        <w:rPr>
          <w:b/>
          <w:bCs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8AA53" wp14:editId="0EDEFAC9">
                <wp:simplePos x="0" y="0"/>
                <wp:positionH relativeFrom="margin">
                  <wp:align>center</wp:align>
                </wp:positionH>
                <wp:positionV relativeFrom="paragraph">
                  <wp:posOffset>-492760</wp:posOffset>
                </wp:positionV>
                <wp:extent cx="7856857" cy="369332"/>
                <wp:effectExtent l="0" t="0" r="0" b="0"/>
                <wp:wrapNone/>
                <wp:docPr id="12" name="מלבן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23A68-C030-EE25-10EE-C0ED420A7F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685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4C1FEF" w14:textId="77777777" w:rsidR="00EA5DFF" w:rsidRDefault="00EA5DFF" w:rsidP="00EA5DFF">
                            <w:pPr>
                              <w:jc w:val="center"/>
                              <w:rPr>
                                <w:rFonts w:ascii="Candara" w:eastAsia="Yu Gothic Medium" w:hAnsi="Arial"/>
                                <w:b/>
                                <w:bCs/>
                                <w:color w:val="44BC5B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ndara" w:eastAsia="Yu Gothic Medium" w:hAnsi="Arial"/>
                                <w:b/>
                                <w:bCs/>
                                <w:color w:val="44BC5B"/>
                                <w:kern w:val="24"/>
                                <w:sz w:val="36"/>
                                <w:szCs w:val="36"/>
                                <w:rtl/>
                              </w:rPr>
                              <w:t>הוועדה המקומית לתכנון ובנייה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8AA53" id="מלבן 11" o:spid="_x0000_s1027" style="position:absolute;left:0;text-align:left;margin-left:0;margin-top:-38.8pt;width:618.65pt;height:29.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" filled="f" stroked="f">
                <v:textbox style="mso-fit-shape-to-text:t">
                  <w:txbxContent>
                    <w:p w14:paraId="1E4C1FEF" w14:textId="77777777" w:rsidR="00EA5DFF" w:rsidRDefault="00EA5DFF" w:rsidP="00EA5DFF">
                      <w:pPr>
                        <w:jc w:val="center"/>
                        <w:rPr>
                          <w:rFonts w:ascii="Candara" w:eastAsia="Yu Gothic Medium" w:hAnsi="Arial"/>
                          <w:b/>
                          <w:bCs/>
                          <w:color w:val="44BC5B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ndara" w:eastAsia="Yu Gothic Medium" w:hAnsi="Arial"/>
                          <w:b/>
                          <w:bCs/>
                          <w:color w:val="44BC5B"/>
                          <w:kern w:val="24"/>
                          <w:sz w:val="36"/>
                          <w:szCs w:val="36"/>
                          <w:rtl/>
                        </w:rPr>
                        <w:t>הוועדה המקומית לתכנון ובנייה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B0AC37" w14:textId="4F040BA2" w:rsidR="00EA5DFF" w:rsidRDefault="00EA5DFF" w:rsidP="004129DC">
      <w:pPr>
        <w:jc w:val="center"/>
        <w:rPr>
          <w:b/>
          <w:bCs/>
          <w:u w:val="single"/>
          <w:rtl/>
        </w:rPr>
      </w:pPr>
    </w:p>
    <w:p w14:paraId="5D8ABFEE" w14:textId="34DD8EC6" w:rsidR="00ED1CB1" w:rsidRPr="007516CE" w:rsidRDefault="004129DC" w:rsidP="004129DC">
      <w:pPr>
        <w:jc w:val="center"/>
        <w:rPr>
          <w:b/>
          <w:bCs/>
          <w:u w:val="single"/>
          <w:rtl/>
        </w:rPr>
      </w:pPr>
      <w:r w:rsidRPr="007516CE">
        <w:rPr>
          <w:rFonts w:hint="cs"/>
          <w:b/>
          <w:bCs/>
          <w:u w:val="single"/>
          <w:rtl/>
        </w:rPr>
        <w:t>מסמך מדיניות אכיפה</w:t>
      </w:r>
    </w:p>
    <w:p w14:paraId="5F281D74" w14:textId="77777777" w:rsidR="004129DC" w:rsidRDefault="004129DC" w:rsidP="004129DC">
      <w:pPr>
        <w:rPr>
          <w:rtl/>
        </w:rPr>
      </w:pPr>
    </w:p>
    <w:p w14:paraId="78079FEE" w14:textId="786D69B3" w:rsidR="004129DC" w:rsidRDefault="004129DC" w:rsidP="004129DC">
      <w:pPr>
        <w:rPr>
          <w:rtl/>
        </w:rPr>
      </w:pPr>
      <w:r>
        <w:rPr>
          <w:rFonts w:hint="cs"/>
          <w:rtl/>
        </w:rPr>
        <w:t xml:space="preserve">מחלקת הפיקוח של הוועדה המרחבית הראל תבצע אכיפה בהתאם לפרק י' לחוק התכנון והבניה , </w:t>
      </w:r>
      <w:proofErr w:type="spellStart"/>
      <w:r>
        <w:rPr>
          <w:rFonts w:hint="cs"/>
          <w:rtl/>
        </w:rPr>
        <w:t>התשכ"ה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1965 על פי המדרג/ סדר החשיבות כמפורט במסמך זה.</w:t>
      </w:r>
    </w:p>
    <w:p w14:paraId="0BE75138" w14:textId="561BAB16" w:rsidR="004129DC" w:rsidRDefault="004129DC" w:rsidP="004129DC">
      <w:pPr>
        <w:rPr>
          <w:rtl/>
        </w:rPr>
      </w:pPr>
      <w:r>
        <w:rPr>
          <w:rFonts w:hint="cs"/>
          <w:rtl/>
        </w:rPr>
        <w:t xml:space="preserve">יובהר למען הסר כל ספק, כי מסמך מדיניות האכיפה נועד על מנת לתת מענה לסדר החשיבות בעבודת הפיקוח והתביעה בוועדה המרחבית. </w:t>
      </w:r>
    </w:p>
    <w:p w14:paraId="772F46A1" w14:textId="3F90E340" w:rsidR="004129DC" w:rsidRDefault="004129DC" w:rsidP="004129DC">
      <w:pPr>
        <w:rPr>
          <w:rtl/>
        </w:rPr>
      </w:pPr>
      <w:r>
        <w:rPr>
          <w:rFonts w:hint="cs"/>
          <w:rtl/>
        </w:rPr>
        <w:t xml:space="preserve">עבירות שאינן מצוינות במסמך זה, אין בהן כדי לקבוע מראש שהן לא יאכפו </w:t>
      </w:r>
      <w:proofErr w:type="spellStart"/>
      <w:r>
        <w:rPr>
          <w:rFonts w:hint="cs"/>
          <w:rtl/>
        </w:rPr>
        <w:t>כללץ</w:t>
      </w:r>
      <w:proofErr w:type="spellEnd"/>
    </w:p>
    <w:p w14:paraId="01EF67B5" w14:textId="12D98B17" w:rsidR="004129DC" w:rsidRDefault="004129DC" w:rsidP="004129DC">
      <w:pPr>
        <w:rPr>
          <w:rtl/>
        </w:rPr>
      </w:pPr>
      <w:r>
        <w:rPr>
          <w:rFonts w:hint="cs"/>
          <w:rtl/>
        </w:rPr>
        <w:t>כל מקרה ייבחן לגופו וההחלטה באם לאכוף ומתי תתקבל בזמן אמת בהתאם לעבודת מחלקת הפיקוח והתביעה, בהתאם למגבלות הקיימות ובהתאם למסמך המדיניות שלהלן.</w:t>
      </w:r>
    </w:p>
    <w:p w14:paraId="739649CE" w14:textId="286535B0" w:rsidR="004129DC" w:rsidRDefault="004129DC" w:rsidP="004129DC">
      <w:pPr>
        <w:rPr>
          <w:u w:val="single"/>
          <w:rtl/>
        </w:rPr>
      </w:pPr>
      <w:r w:rsidRPr="004129DC">
        <w:rPr>
          <w:rFonts w:hint="cs"/>
          <w:u w:val="single"/>
          <w:rtl/>
        </w:rPr>
        <w:t>להלן סדרי העדיפויות לאכיפה ופיקוח</w:t>
      </w:r>
      <w:r>
        <w:rPr>
          <w:rFonts w:hint="cs"/>
          <w:u w:val="single"/>
          <w:rtl/>
        </w:rPr>
        <w:t>:</w:t>
      </w:r>
    </w:p>
    <w:p w14:paraId="44B75EA1" w14:textId="42E87682" w:rsidR="004129DC" w:rsidRDefault="004129DC" w:rsidP="004129DC">
      <w:pPr>
        <w:pStyle w:val="a9"/>
        <w:numPr>
          <w:ilvl w:val="0"/>
          <w:numId w:val="1"/>
        </w:numPr>
        <w:rPr>
          <w:u w:val="single"/>
        </w:rPr>
      </w:pPr>
      <w:r w:rsidRPr="007A55C4">
        <w:rPr>
          <w:rFonts w:hint="cs"/>
          <w:b/>
          <w:bCs/>
          <w:rtl/>
        </w:rPr>
        <w:t>עבירה שיש בה סכנה או מפגע חמור.</w:t>
      </w:r>
      <w:r>
        <w:rPr>
          <w:rtl/>
        </w:rPr>
        <w:br/>
      </w:r>
      <w:r>
        <w:rPr>
          <w:rFonts w:hint="cs"/>
          <w:rtl/>
        </w:rPr>
        <w:t>במקרה כזה נדרש לפעול מיידית בכל האמצעים:</w:t>
      </w:r>
      <w:r>
        <w:rPr>
          <w:rtl/>
        </w:rPr>
        <w:br/>
      </w:r>
      <w:r>
        <w:rPr>
          <w:rFonts w:hint="cs"/>
          <w:rtl/>
        </w:rPr>
        <w:t>א. צו "מבנה מסוכן" (בסמכות מהנדס הרשות המקומית)</w:t>
      </w:r>
      <w:r>
        <w:rPr>
          <w:rtl/>
        </w:rPr>
        <w:br/>
      </w:r>
      <w:r>
        <w:rPr>
          <w:rFonts w:hint="cs"/>
          <w:rtl/>
        </w:rPr>
        <w:t>ב. צווים מנהליים (הריסה, הפסקת עבודות,</w:t>
      </w:r>
      <w:r>
        <w:rPr>
          <w:rFonts w:hint="cs"/>
          <w:u w:val="single"/>
          <w:rtl/>
        </w:rPr>
        <w:t xml:space="preserve"> </w:t>
      </w:r>
      <w:r w:rsidRPr="004129DC">
        <w:rPr>
          <w:rFonts w:hint="cs"/>
          <w:rtl/>
        </w:rPr>
        <w:t>הפסקת שימוש)</w:t>
      </w:r>
      <w:r>
        <w:rPr>
          <w:u w:val="single"/>
          <w:rtl/>
        </w:rPr>
        <w:br/>
      </w:r>
      <w:r w:rsidRPr="004129DC">
        <w:rPr>
          <w:rFonts w:hint="cs"/>
          <w:rtl/>
        </w:rPr>
        <w:t>ג. כ</w:t>
      </w:r>
      <w:r>
        <w:rPr>
          <w:rFonts w:hint="cs"/>
          <w:rtl/>
        </w:rPr>
        <w:t>תב אישום.</w:t>
      </w:r>
    </w:p>
    <w:p w14:paraId="71DB7E31" w14:textId="07CACC6B" w:rsidR="004129DC" w:rsidRDefault="004129DC" w:rsidP="004129DC">
      <w:pPr>
        <w:pStyle w:val="a9"/>
        <w:numPr>
          <w:ilvl w:val="0"/>
          <w:numId w:val="1"/>
        </w:numPr>
      </w:pPr>
      <w:r w:rsidRPr="007A55C4">
        <w:rPr>
          <w:rFonts w:hint="cs"/>
          <w:b/>
          <w:bCs/>
          <w:rtl/>
        </w:rPr>
        <w:t>פלישה לשטחים ציבוריים (מדרכה/רחוב/דרך/</w:t>
      </w:r>
      <w:proofErr w:type="spellStart"/>
      <w:r w:rsidRPr="007A55C4">
        <w:rPr>
          <w:rFonts w:hint="cs"/>
          <w:b/>
          <w:bCs/>
          <w:rtl/>
        </w:rPr>
        <w:t>שצ"פ</w:t>
      </w:r>
      <w:proofErr w:type="spellEnd"/>
      <w:r w:rsidRPr="007A55C4">
        <w:rPr>
          <w:rFonts w:hint="cs"/>
          <w:b/>
          <w:bCs/>
          <w:rtl/>
        </w:rPr>
        <w:t>/שטח למבנה ציבור וכו').</w:t>
      </w:r>
      <w:r w:rsidRPr="007A55C4">
        <w:rPr>
          <w:b/>
          <w:bCs/>
          <w:rtl/>
        </w:rPr>
        <w:br/>
      </w:r>
      <w:r>
        <w:rPr>
          <w:rFonts w:hint="cs"/>
          <w:rtl/>
        </w:rPr>
        <w:t>א. צווים מנהליים (הריסה, הפסקת עבודות, הפסקת שימוש).</w:t>
      </w:r>
      <w:r>
        <w:rPr>
          <w:rtl/>
        </w:rPr>
        <w:br/>
      </w:r>
      <w:r>
        <w:rPr>
          <w:rFonts w:hint="cs"/>
          <w:rtl/>
        </w:rPr>
        <w:t xml:space="preserve">ב. בגין עבירת הבנייה </w:t>
      </w:r>
      <w:r>
        <w:rPr>
          <w:rtl/>
        </w:rPr>
        <w:t>–</w:t>
      </w:r>
      <w:r>
        <w:rPr>
          <w:rFonts w:hint="cs"/>
          <w:rtl/>
        </w:rPr>
        <w:t xml:space="preserve"> כתב אישום</w:t>
      </w:r>
      <w:r>
        <w:rPr>
          <w:rtl/>
        </w:rPr>
        <w:br/>
      </w:r>
      <w:r>
        <w:rPr>
          <w:rFonts w:hint="cs"/>
          <w:rtl/>
        </w:rPr>
        <w:t xml:space="preserve">ג. במידה ועבירת הבנייה התיישנה (לאחר 5 שנים ממועד ביצוע העבירה) </w:t>
      </w:r>
      <w:r>
        <w:rPr>
          <w:rtl/>
        </w:rPr>
        <w:t>–</w:t>
      </w:r>
      <w:r>
        <w:rPr>
          <w:rFonts w:hint="cs"/>
          <w:rtl/>
        </w:rPr>
        <w:t xml:space="preserve"> כתב אישום </w:t>
      </w:r>
      <w:r w:rsidR="007A55C4">
        <w:rPr>
          <w:rFonts w:hint="cs"/>
          <w:rtl/>
        </w:rPr>
        <w:t>בגין עבירת השימוש בהתאם לסעיף 7 להלן.</w:t>
      </w:r>
    </w:p>
    <w:p w14:paraId="45BB43D0" w14:textId="509A09FB" w:rsidR="007A55C4" w:rsidRDefault="007A55C4" w:rsidP="004129DC">
      <w:pPr>
        <w:pStyle w:val="a9"/>
        <w:numPr>
          <w:ilvl w:val="0"/>
          <w:numId w:val="1"/>
        </w:numPr>
      </w:pPr>
      <w:r w:rsidRPr="007A55C4">
        <w:rPr>
          <w:rFonts w:hint="cs"/>
          <w:b/>
          <w:bCs/>
          <w:rtl/>
        </w:rPr>
        <w:t>אי קיום צווים</w:t>
      </w:r>
      <w:r>
        <w:rPr>
          <w:rFonts w:hint="cs"/>
          <w:rtl/>
        </w:rPr>
        <w:t>.</w:t>
      </w:r>
      <w:r>
        <w:rPr>
          <w:rtl/>
        </w:rPr>
        <w:br/>
      </w:r>
      <w:r>
        <w:rPr>
          <w:rFonts w:hint="cs"/>
          <w:rtl/>
        </w:rPr>
        <w:t>הפרת צווים מנהליים והפרת צווי בית משפט</w:t>
      </w:r>
      <w:r>
        <w:rPr>
          <w:rtl/>
        </w:rPr>
        <w:br/>
      </w:r>
      <w:r>
        <w:rPr>
          <w:rFonts w:hint="cs"/>
          <w:rtl/>
        </w:rPr>
        <w:t>הפעלת כל הכלים המשפטיים בהתאם לפרק י' לחוק לצורך ביצוע הצווים</w:t>
      </w:r>
    </w:p>
    <w:p w14:paraId="702C4D9D" w14:textId="14BA6137" w:rsidR="007A55C4" w:rsidRDefault="007A55C4" w:rsidP="007A55C4">
      <w:pPr>
        <w:pStyle w:val="a9"/>
        <w:numPr>
          <w:ilvl w:val="0"/>
          <w:numId w:val="1"/>
        </w:numPr>
      </w:pPr>
      <w:r w:rsidRPr="007A55C4">
        <w:rPr>
          <w:rFonts w:hint="cs"/>
          <w:b/>
          <w:bCs/>
          <w:rtl/>
        </w:rPr>
        <w:t>שימושים חורגים</w:t>
      </w:r>
      <w:r w:rsidRPr="007A55C4">
        <w:rPr>
          <w:b/>
          <w:bCs/>
          <w:rtl/>
        </w:rPr>
        <w:br/>
      </w:r>
      <w:r>
        <w:rPr>
          <w:rFonts w:hint="cs"/>
          <w:rtl/>
        </w:rPr>
        <w:t>א. מידת ההפרעה לציבור/ האם השימוש החורג מהווה מפגע סביבתי</w:t>
      </w:r>
      <w:r>
        <w:rPr>
          <w:rtl/>
        </w:rPr>
        <w:br/>
      </w:r>
      <w:r>
        <w:rPr>
          <w:rFonts w:hint="cs"/>
          <w:rtl/>
        </w:rPr>
        <w:t>ב. היקף השימוש החורג</w:t>
      </w:r>
      <w:r>
        <w:rPr>
          <w:rtl/>
        </w:rPr>
        <w:br/>
      </w:r>
      <w:r>
        <w:rPr>
          <w:rFonts w:hint="cs"/>
          <w:rtl/>
        </w:rPr>
        <w:t xml:space="preserve">האם בשימוש החורג יש היבט מסחרי </w:t>
      </w:r>
    </w:p>
    <w:p w14:paraId="4D4D8659" w14:textId="0505CE94" w:rsidR="007A55C4" w:rsidRDefault="007A55C4" w:rsidP="007A55C4">
      <w:pPr>
        <w:pStyle w:val="a9"/>
        <w:numPr>
          <w:ilvl w:val="0"/>
          <w:numId w:val="1"/>
        </w:numPr>
      </w:pPr>
      <w:r w:rsidRPr="007A55C4">
        <w:rPr>
          <w:rFonts w:hint="cs"/>
          <w:b/>
          <w:bCs/>
          <w:rtl/>
        </w:rPr>
        <w:t>פיצול דירות והוספת יחידות דיור</w:t>
      </w:r>
      <w:r>
        <w:rPr>
          <w:rtl/>
        </w:rPr>
        <w:br/>
      </w:r>
      <w:r>
        <w:rPr>
          <w:rFonts w:hint="cs"/>
          <w:rtl/>
        </w:rPr>
        <w:t>א. שימוש בשטחים משותפים בבניה רוויה</w:t>
      </w:r>
      <w:r>
        <w:rPr>
          <w:rtl/>
        </w:rPr>
        <w:br/>
      </w:r>
      <w:r>
        <w:rPr>
          <w:rFonts w:hint="cs"/>
          <w:rtl/>
        </w:rPr>
        <w:t xml:space="preserve">ב. מידת הפגיעה או הפרעה לסביבה </w:t>
      </w:r>
      <w:r>
        <w:rPr>
          <w:rtl/>
        </w:rPr>
        <w:br/>
      </w:r>
      <w:r>
        <w:rPr>
          <w:rFonts w:hint="cs"/>
          <w:rtl/>
        </w:rPr>
        <w:t>ג. היקף העבירה</w:t>
      </w:r>
      <w:r>
        <w:rPr>
          <w:rtl/>
        </w:rPr>
        <w:br/>
      </w:r>
      <w:r>
        <w:rPr>
          <w:rFonts w:hint="cs"/>
          <w:rtl/>
        </w:rPr>
        <w:t xml:space="preserve">ד. היבטים של רווח כלכלי </w:t>
      </w:r>
      <w:r>
        <w:rPr>
          <w:rtl/>
        </w:rPr>
        <w:br/>
      </w:r>
      <w:r>
        <w:rPr>
          <w:rFonts w:hint="cs"/>
          <w:rtl/>
        </w:rPr>
        <w:t xml:space="preserve">ה. האם ניתן להכשיר את העבירה שבוצעה (כלומר- האם תואם </w:t>
      </w:r>
      <w:proofErr w:type="spellStart"/>
      <w:r>
        <w:rPr>
          <w:rFonts w:hint="cs"/>
          <w:rtl/>
        </w:rPr>
        <w:t>לתכנית</w:t>
      </w:r>
      <w:proofErr w:type="spellEnd"/>
      <w:r>
        <w:rPr>
          <w:rFonts w:hint="cs"/>
          <w:rtl/>
        </w:rPr>
        <w:t xml:space="preserve"> שחלה במקרקעין).</w:t>
      </w:r>
    </w:p>
    <w:p w14:paraId="12C9604F" w14:textId="325A3558" w:rsidR="007A55C4" w:rsidRDefault="007A55C4" w:rsidP="007A55C4">
      <w:pPr>
        <w:pStyle w:val="a9"/>
        <w:numPr>
          <w:ilvl w:val="0"/>
          <w:numId w:val="1"/>
        </w:numPr>
      </w:pPr>
      <w:r w:rsidRPr="007A55C4">
        <w:rPr>
          <w:rFonts w:hint="cs"/>
          <w:b/>
          <w:bCs/>
          <w:rtl/>
        </w:rPr>
        <w:t xml:space="preserve">בניה בסטייה מהוראות </w:t>
      </w:r>
      <w:proofErr w:type="spellStart"/>
      <w:r w:rsidRPr="007A55C4">
        <w:rPr>
          <w:rFonts w:hint="cs"/>
          <w:b/>
          <w:bCs/>
          <w:rtl/>
        </w:rPr>
        <w:t>התכנית</w:t>
      </w:r>
      <w:proofErr w:type="spellEnd"/>
      <w:r w:rsidRPr="007A55C4">
        <w:rPr>
          <w:rFonts w:hint="cs"/>
          <w:b/>
          <w:bCs/>
          <w:rtl/>
        </w:rPr>
        <w:t xml:space="preserve"> (קווי בניין / גובה/ מס' קומות וכו'</w:t>
      </w:r>
      <w:r>
        <w:rPr>
          <w:rFonts w:hint="cs"/>
          <w:b/>
          <w:bCs/>
          <w:rtl/>
        </w:rPr>
        <w:t>)</w:t>
      </w:r>
      <w:r w:rsidRPr="007A55C4">
        <w:rPr>
          <w:b/>
          <w:bCs/>
          <w:rtl/>
        </w:rPr>
        <w:br/>
      </w:r>
      <w:r>
        <w:rPr>
          <w:rFonts w:hint="cs"/>
          <w:rtl/>
        </w:rPr>
        <w:t>א. מידת ההפרעה לסביבה</w:t>
      </w:r>
      <w:r>
        <w:rPr>
          <w:rtl/>
        </w:rPr>
        <w:br/>
      </w:r>
      <w:r>
        <w:rPr>
          <w:rFonts w:hint="cs"/>
          <w:rtl/>
        </w:rPr>
        <w:t xml:space="preserve">ב. מידת הפגיעה </w:t>
      </w:r>
      <w:proofErr w:type="spellStart"/>
      <w:r>
        <w:rPr>
          <w:rFonts w:hint="cs"/>
          <w:rtl/>
        </w:rPr>
        <w:t>החזור</w:t>
      </w:r>
      <w:proofErr w:type="spellEnd"/>
      <w:r>
        <w:rPr>
          <w:rFonts w:hint="cs"/>
          <w:rtl/>
        </w:rPr>
        <w:t xml:space="preserve"> המבנה </w:t>
      </w:r>
      <w:r>
        <w:rPr>
          <w:rtl/>
        </w:rPr>
        <w:br/>
      </w:r>
      <w:r>
        <w:rPr>
          <w:rFonts w:hint="cs"/>
          <w:rtl/>
        </w:rPr>
        <w:lastRenderedPageBreak/>
        <w:t>ג. היקף העבירה</w:t>
      </w:r>
      <w:r>
        <w:rPr>
          <w:rtl/>
        </w:rPr>
        <w:br/>
      </w:r>
      <w:r>
        <w:rPr>
          <w:rFonts w:hint="cs"/>
          <w:rtl/>
        </w:rPr>
        <w:t>ד. היבטים של רווח כלכלי</w:t>
      </w:r>
    </w:p>
    <w:p w14:paraId="2BBCF7F4" w14:textId="093BC306" w:rsidR="007A55C4" w:rsidRDefault="007A55C4" w:rsidP="007A55C4">
      <w:pPr>
        <w:pStyle w:val="a9"/>
        <w:numPr>
          <w:ilvl w:val="0"/>
          <w:numId w:val="1"/>
        </w:numPr>
      </w:pPr>
      <w:r w:rsidRPr="007A55C4">
        <w:rPr>
          <w:rFonts w:hint="cs"/>
          <w:b/>
          <w:bCs/>
          <w:rtl/>
        </w:rPr>
        <w:t>שימוש אסור (שימוש ללא היתר) במקום שבו עבירת הבנייה התיישנה</w:t>
      </w:r>
      <w:r>
        <w:rPr>
          <w:rFonts w:hint="cs"/>
          <w:rtl/>
        </w:rPr>
        <w:t xml:space="preserve"> </w:t>
      </w:r>
      <w:r>
        <w:rPr>
          <w:rtl/>
        </w:rPr>
        <w:br/>
      </w:r>
      <w:r>
        <w:rPr>
          <w:rFonts w:hint="cs"/>
          <w:rtl/>
        </w:rPr>
        <w:t>א. האם העבירה מהווה מפגע או סכנה</w:t>
      </w:r>
      <w:r>
        <w:rPr>
          <w:rtl/>
        </w:rPr>
        <w:br/>
      </w:r>
      <w:r>
        <w:rPr>
          <w:rFonts w:hint="cs"/>
          <w:rtl/>
        </w:rPr>
        <w:t>ב. היקף השימוש</w:t>
      </w:r>
      <w:r>
        <w:rPr>
          <w:rtl/>
        </w:rPr>
        <w:br/>
      </w:r>
      <w:r>
        <w:rPr>
          <w:rFonts w:hint="cs"/>
          <w:rtl/>
        </w:rPr>
        <w:t xml:space="preserve">ג. האם יש בעבירה היבטים של רווח כלכלי </w:t>
      </w:r>
      <w:r>
        <w:rPr>
          <w:rtl/>
        </w:rPr>
        <w:br/>
      </w:r>
      <w:r>
        <w:rPr>
          <w:rFonts w:hint="cs"/>
          <w:rtl/>
        </w:rPr>
        <w:t>ד. משך הזמן שחלף מאז ביצוע העבירה</w:t>
      </w:r>
      <w:r>
        <w:rPr>
          <w:rtl/>
        </w:rPr>
        <w:br/>
      </w:r>
      <w:r>
        <w:rPr>
          <w:rFonts w:hint="cs"/>
          <w:rtl/>
        </w:rPr>
        <w:t>ה. האם ניתן להכשיר את העבירה (כלומר- האם תואם לתכנית שחלה במקרקעין)</w:t>
      </w:r>
    </w:p>
    <w:p w14:paraId="5005EAD3" w14:textId="77777777" w:rsidR="007A55C4" w:rsidRDefault="007A55C4" w:rsidP="007A55C4">
      <w:pPr>
        <w:rPr>
          <w:rtl/>
        </w:rPr>
      </w:pPr>
    </w:p>
    <w:p w14:paraId="4B9769C7" w14:textId="2E70A442" w:rsidR="007A55C4" w:rsidRPr="004129DC" w:rsidRDefault="007A55C4" w:rsidP="007A55C4"/>
    <w:sectPr w:rsidR="007A55C4" w:rsidRPr="004129DC" w:rsidSect="00ED1C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C4C85"/>
    <w:multiLevelType w:val="hybridMultilevel"/>
    <w:tmpl w:val="61D8F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DC"/>
    <w:rsid w:val="004129DC"/>
    <w:rsid w:val="004F7C2A"/>
    <w:rsid w:val="005D1982"/>
    <w:rsid w:val="007516CE"/>
    <w:rsid w:val="007A55C4"/>
    <w:rsid w:val="00B46CBE"/>
    <w:rsid w:val="00DC0A34"/>
    <w:rsid w:val="00DD17E4"/>
    <w:rsid w:val="00EA5DFF"/>
    <w:rsid w:val="00E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D179"/>
  <w15:chartTrackingRefBased/>
  <w15:docId w15:val="{8A8C4B4F-D2EA-45FE-887F-62D5EF3B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1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1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12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29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29D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2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29D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2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2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12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9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129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2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רחמים</dc:creator>
  <cp:keywords/>
  <dc:description/>
  <cp:lastModifiedBy>דקל דהן גרשון</cp:lastModifiedBy>
  <cp:revision>3</cp:revision>
  <cp:lastPrinted>2025-10-23T08:45:00Z</cp:lastPrinted>
  <dcterms:created xsi:type="dcterms:W3CDTF">2025-10-15T11:49:00Z</dcterms:created>
  <dcterms:modified xsi:type="dcterms:W3CDTF">2025-10-23T08:53:00Z</dcterms:modified>
</cp:coreProperties>
</file>